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Проверка состава проектной документации по постановлению № 87</w:t>
      </w:r>
    </w:p>
    <w:p>
      <w:r>
        <w:t>Рабочий чек-лист для заказчика и проектировщика. Он помогает определить состав задания и собрать разделы, но не заменяет проверку действующей редакции постановления и требований к объекту.</w:t>
      </w:r>
    </w:p>
    <w:p>
      <w:r>
        <w:t>Объект: __________________________________________________________________</w:t>
      </w:r>
    </w:p>
    <w:p>
      <w:r>
        <w:t>Адрес или идентификатор: __________________________________________________________________</w:t>
      </w:r>
    </w:p>
    <w:p>
      <w:r>
        <w:t>Тип объекта и вид работ: __________________________________________________________________</w:t>
      </w:r>
    </w:p>
    <w:p>
      <w:r>
        <w:t>Задание на проектирование и редакция: __________________________________________________________________</w:t>
      </w:r>
    </w:p>
    <w:p>
      <w:pPr>
        <w:pStyle w:val="Heading1"/>
      </w:pPr>
      <w:r>
        <w:t>Здания и сооружения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"/>
        <w:gridCol w:w="5400"/>
        <w:gridCol w:w="1296"/>
        <w:gridCol w:w="2592"/>
      </w:tblGrid>
      <w:tr>
        <w:tc>
          <w:tcPr>
            <w:tcW w:type="dxa" w:w="504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type="dxa" w:w="5400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Раздел</w:t>
            </w:r>
          </w:p>
        </w:tc>
        <w:tc>
          <w:tcPr>
            <w:tcW w:type="dxa" w:w="1296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Нужен / готов</w:t>
            </w:r>
          </w:p>
        </w:tc>
        <w:tc>
          <w:tcPr>
            <w:tcW w:type="dxa" w:w="2592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Примечание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Пояснительная записка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2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Схема планировочной организации земельного участка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3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Объёмно-планировочные и архитектурные решения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4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Конструктивные решения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5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Сведения об инженерном оборудовании, о сетях и системах инженерно-технического обеспечения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6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Технологические решения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7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Проект организации строительства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8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Мероприятия по охране окружающей среды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9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Мероприятия по обеспечению пожарной безопасности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10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Требования к обеспечению безопасной эксплуатации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11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Мероприятия по обеспечению доступа инвалидов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12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Смета в случаях, предусмотренных пунктом 3.4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13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Иная документация в предусмотренных законом случаях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Линейные объекты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"/>
        <w:gridCol w:w="5400"/>
        <w:gridCol w:w="1296"/>
        <w:gridCol w:w="2592"/>
      </w:tblGrid>
      <w:tr>
        <w:tc>
          <w:tcPr>
            <w:tcW w:type="dxa" w:w="504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№</w:t>
            </w:r>
          </w:p>
        </w:tc>
        <w:tc>
          <w:tcPr>
            <w:tcW w:type="dxa" w:w="5400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Раздел</w:t>
            </w:r>
          </w:p>
        </w:tc>
        <w:tc>
          <w:tcPr>
            <w:tcW w:type="dxa" w:w="1296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Нужен / готов</w:t>
            </w:r>
          </w:p>
        </w:tc>
        <w:tc>
          <w:tcPr>
            <w:tcW w:type="dxa" w:w="2592"/>
            <w:shd w:fill="EDF2F8"/>
          </w:tcPr>
          <w:p>
            <w:pPr>
              <w:spacing w:after="40" w:before="40"/>
            </w:pPr>
            <w:r>
              <w:rPr>
                <w:b/>
                <w:sz w:val="16"/>
              </w:rPr>
              <w:t>Примечание</w:t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Пояснительная записка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2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Проект полосы отвода при наличии основания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3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Технологические и конструктивные решения линейного объекта. Искусственные сооружения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4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Здания, строения и сооружения инфраструктуры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5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Проект организации строительства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6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Мероприятия по охране окружающей среды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7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Мероприятия по обеспечению пожарной безопасности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8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Требования к обеспечению безопасной эксплуатации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9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Смета в случаях, предусмотренных пунктом 3.4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  <w:tr>
        <w:tc>
          <w:tcPr>
            <w:tcW w:type="dxa" w:w="504"/>
          </w:tcPr>
          <w:p>
            <w:pPr>
              <w:spacing w:after="40" w:before="40"/>
            </w:pPr>
            <w:r>
              <w:rPr>
                <w:sz w:val="16"/>
              </w:rPr>
              <w:t>10</w:t>
            </w:r>
          </w:p>
        </w:tc>
        <w:tc>
          <w:tcPr>
            <w:tcW w:type="dxa" w:w="5400"/>
          </w:tcPr>
          <w:p>
            <w:pPr>
              <w:spacing w:after="40" w:before="40"/>
            </w:pPr>
            <w:r>
              <w:rPr>
                <w:sz w:val="16"/>
              </w:rPr>
              <w:t>Иная документация в предусмотренных законом случаях</w:t>
            </w:r>
          </w:p>
        </w:tc>
        <w:tc>
          <w:tcPr>
            <w:tcW w:type="dxa" w:w="1296"/>
          </w:tcPr>
          <w:p>
            <w:pPr>
              <w:spacing w:after="40" w:before="40"/>
            </w:pPr>
            <w:r>
              <w:rPr>
                <w:sz w:val="16"/>
              </w:rPr>
              <w:t>___ / ___</w:t>
            </w:r>
          </w:p>
        </w:tc>
        <w:tc>
          <w:tcPr>
            <w:tcW w:type="dxa" w:w="2592"/>
          </w:tcPr>
          <w:p>
            <w:pPr>
              <w:spacing w:after="40" w:before="40"/>
            </w:pPr>
            <w:r>
              <w:rPr>
                <w:sz w:val="16"/>
              </w:rPr>
            </w:r>
          </w:p>
        </w:tc>
      </w:tr>
    </w:tbl>
    <w:p>
      <w:r>
        <w:t>Для реконструкции и капитального ремонта состав определяется заданием на проектирование с учётом содержания работ. Уточните специальные требования для конкретного вида объекта.</w:t>
      </w:r>
    </w:p>
    <w:p>
      <w:r>
        <w:t>Источник: Постановление Правительства РФ от 16.02.2008 № 87, пункты 3.1–3.4.</w:t>
      </w:r>
    </w:p>
    <w:p/>
    <w:p>
      <w:r>
        <w:t>Редакция 02.11.2026 · Рабочая заготовка ПТО такси · Требуется проверка по объекту.</w:t>
      </w:r>
    </w:p>
    <w:sectPr w:rsidR="00FC693F" w:rsidRPr="0006063C" w:rsidSect="00034616">
      <w:pgSz w:w="12240" w:h="15840"/>
      <w:pgMar w:top="979" w:right="1080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